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caps w:val="0"/>
          <w:color w:val="000000"/>
          <w:spacing w:val="0"/>
          <w:sz w:val="18"/>
          <w:szCs w:val="18"/>
        </w:rPr>
      </w:pPr>
      <w:bookmarkStart w:id="0" w:name="_GoBack"/>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1.周一鸣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周一鸣，男，在日本综合研究大学院大学和国立生理学研究所获得博士学位，之后在哈佛大学医学院和布莱根妇女医院进行了博士后研究，并于2018年</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月被哈佛大学医学院和布莱根妇女医院聘为讲师（</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Instructor</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）。于</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2018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年</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12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月被中山大学孙逸仙纪念医院聘为研究员，博士生导师。周一鸣教授主要研究通过多平台，包括电生理平台、干细胞、肾脏类器官、单细胞测序等平台，探讨代谢免疫性疾病，如</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IgA</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肾病，一型糖尿病，糖尿病肾病等的发病机制，在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Science</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Nature Communcations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等杂志发表高水平论文。现阶段主要致力于：</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）研究足细胞离子通道在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IgA</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FSGS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及</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DKD</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等肾病中的参与机制；</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）建立临床肾脏类器官库，研究基因突变在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PKD</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UMOD</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等遗传性肾脏疾病中的参与机制；</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）利用单细胞测序技术，建立</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IgA</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FSGS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肾病的临床单细胞图谱，寻找新的预防和治疗的靶点。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FFFFFF"/>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2.潘越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潘越，男，中山大学孙逸仙纪念医院基础与转化医学研究中心研究员、博士生导师，中山大学</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百人计划</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引进人才，广东省杰出青年基金获得者，孙逸仙纪念医院</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高层次人才特别支持计划</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青年拔尖人才。美国</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Brandeis University</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博士，哈佛大学医学院博士后。研究领域为纳米生物医学，侧重于疾病的早期诊断和高效治疗。在国际主流期刊发表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55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SCI</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学术论文，其中通讯作者</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32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IF&gt;10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ESI</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高被引论文，包括</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Chem. Soc. Rev. (IF=42), Nano Energy (IF=16), J. Am. Chem. Soc. (IF=14), J. Mater. Chem. A. (IF=11), Biosens. Bioelectron. (IF=10)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等。入选</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2015 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年度英国皇家化学会</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Top 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高被引中国作者</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榜单，</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2017 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年共同荣获华夏医学科技奖三等奖。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FFFFFF"/>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3.蒋琳加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蒋琳加，女，研究员，博士生导师，</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2017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年中山大学</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百人计划</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引进人才</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中山大学孙逸仙纪念医院医学研究中心研究员、在以第一作者及通讯作者在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PNAS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JEM</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Mol Cel</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elife</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等高影响力杂志发表论文多篇，主持国自然青年、面上项目，参与国家重点研发计划</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干细胞及转化研究</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专项及广东省重点领域研究计划等项目。研究方向：利用小鼠模型研究肿瘤干细胞与微环境互作对白血病发生及治疗的影响，利用斑马鱼模型通过功能基因组学、生物信息学等方式研究器官再生过程中的细胞及分子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FFFFFF"/>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4.陈思凡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陈思凡，男，中山大学附属孙逸仙纪念医院医学研究中心研究员，博士生导师，中山大学“百人计划”引进人才。研究方向为探讨代谢性疾病如糖尿病、肥胖和心血管疾病等的分子机制及临床药物或营养干预治疗。主要集中点为：</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）研究菌群对糖尿病及其并发症的调控；</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）研究</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Sirtuins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在胰岛素抵抗相关代谢性疾病中的调控；</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）筛选新的天然植物化学物作为开发防治代谢性疾病的潜在药物。研究手段包括细胞培养、转基因小鼠动物实验和相关人群标本分析。研究成果发表在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Cell Metabolism</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Molecular Cell</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Nature Communications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等国际知名期刊。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FFFFFF"/>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5.蔡佩娥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蔡佩娥，女，中山大学孙逸仙纪念医院医学研究中心研究员、博士生导师，中山大学</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百人计划</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引进人才。韩国科学技术院博士，美国哈佛医学院博士后，</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2018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年</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月全职回国。研究纳米材料靶向递送</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RNA</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用于恶性肿瘤的治疗，致力于：</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筛选新型高效肿瘤靶向配体， 深入研究新型肿瘤靶向配体修饰的纳米药物输送体系在肿瘤靶向治疗上的应用； </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基于天然活性物质开发生物安全的新型纳米输送体系用于输送小分子干扰 </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RNA</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siRNA</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和癌症靶向治疗； </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3)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研发可透过血脑屏障的超小尺寸纳米脂质胶束，用于中枢神经系统恶性肿瘤的靶向治疗。研究成果发表于</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Cancer Cell (IF 26.602), Advanced Materials (IF 27.398), ACS Nano (IF 14.588), Angewandte Chemie International Edition (IF 12.959), Nano Letters (IF 11.238), Biomaterials (IF 10.317)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等国际知名期刊。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FFFFFF"/>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6.廖新勤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廖新勤，男，中山大学孙逸仙纪念医院基础与转化医学研究中心副研究员、博士生导师，中山大学</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百人计划</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引进人才。博士毕业于北京科技大学，导师是张跃院士，新加坡南洋理工大学博士后。主要从事人工智能交互式可穿戴电子器件研究，致力于将新型功能材料、敏感元件及器件设计与国家战略性新兴医疗产业需求相结合，实现新型传感器的可控定制化构建与性能优化，探索可穿戴设备在健康监测、康复评价、仿生假肢、安全预警、人机交互、虚拟医学训练等智能医疗产业的应用基础。近</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年，在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Nature Communications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Advanced Materials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Advanced Functional Materials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Nano Energy</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Materials Horizons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等期刊上发表</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SCI</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论文</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篇，其中第一作者一区</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TOP</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文章</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12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ESI</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高被引</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篇；授权发明专利</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项；研究成果被 </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Nature Reviews Materials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Chemical Reviews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Materials Today</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等期刊引用与正面评述，他引一千余次。现担任</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Advanced Materials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Advanced Functional Materials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Nano Energy</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Materials Horizons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ACS Nano</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IEEE Industrial Electronics Magazine</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IEEE Transactions on Industrial Electronics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caps w:val="0"/>
          <w:color w:val="000000"/>
          <w:spacing w:val="0"/>
          <w:kern w:val="0"/>
          <w:sz w:val="21"/>
          <w:szCs w:val="21"/>
          <w:bdr w:val="none" w:color="auto" w:sz="0" w:space="0"/>
          <w:shd w:val="clear" w:fill="FFFFFF"/>
          <w:lang w:val="en-US" w:eastAsia="zh-CN" w:bidi="ar"/>
        </w:rPr>
        <w:t>ACS Applied Materials &amp; Interfaces</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等十余个期刊审稿人。</w:t>
      </w:r>
    </w:p>
    <w:p>
      <w:pPr>
        <w:rPr>
          <w:rFonts w:hint="eastAsia"/>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B295F"/>
    <w:rsid w:val="0F4A1D37"/>
    <w:rsid w:val="44C83A24"/>
    <w:rsid w:val="627B295F"/>
    <w:rsid w:val="692A1393"/>
    <w:rsid w:val="7407108E"/>
    <w:rsid w:val="7903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2020-09-10T06:20:00Z</dcterms:created>
  <dc:creator>Administrator</dc:creator>
  <cp:lastModifiedBy>Administrator</cp:lastModifiedBy>
  <dcterms:modified xsi:type="dcterms:W3CDTF">2020-09-10T07:43:31Z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