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right" w:tblpY="1156"/>
        <w:tblW w:w="16135" w:type="dxa"/>
        <w:jc w:val="right"/>
        <w:tblInd w:w="-2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05"/>
        <w:gridCol w:w="1365"/>
        <w:gridCol w:w="735"/>
        <w:gridCol w:w="1005"/>
        <w:gridCol w:w="900"/>
        <w:gridCol w:w="791"/>
        <w:gridCol w:w="580"/>
        <w:gridCol w:w="1060"/>
        <w:gridCol w:w="591"/>
        <w:gridCol w:w="840"/>
        <w:gridCol w:w="1552"/>
        <w:gridCol w:w="241"/>
        <w:gridCol w:w="718"/>
        <w:gridCol w:w="709"/>
        <w:gridCol w:w="113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right"/>
        </w:trPr>
        <w:tc>
          <w:tcPr>
            <w:tcW w:w="161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wordWrap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深圳市优才人力资源有限公司公开招聘聘员(派遣至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平湖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街道）职位表(20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48" w:type="dxa"/>
          <w:trHeight w:val="80" w:hRule="atLeast"/>
          <w:jc w:val="right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报名系统需上传的附件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（拍照即可，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jpg格式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righ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与职位要求有关的其它条件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三级财务管理岗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持有中级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会计专业技术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资格。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1、身份证（正反面），职位要求为龙岗区、深圳市户籍的应上传户口本；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2、毕业证、学位证及学历验证证明（学信网验证证明即可）；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3、报名表（附件2）；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4、计划生育个人承诺书（附件3）；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5、无犯罪证明（该证明暂时不便提供可延后至资格复审时提交）；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6、职位有关的其他证明材料。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1、身份证（正反面），职位要求为龙岗区、深圳市户籍的应上传户口本；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2、毕业证、学位证及学历验证证明（学信网验证证明即可）；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3、报名表（附件2）；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4、计划生育个人承诺书（附件3）；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5、无犯罪证明（该证明暂时不便提供可延后至资格复审时提交）；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6、职位有关的其他证明材料。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四级财务管理岗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会计从业资格证或初级会计专业技术职称。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四级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材料撰写岗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具有较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的文字功底，热爱写作工作，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较好的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完成大型综合材料；</w:t>
            </w:r>
          </w:p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在政府机关或企事业单位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以上综合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文字写作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工作经验；</w:t>
            </w:r>
          </w:p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3、需提供本人撰写的1篇综合材料。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群组织员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具有一定的公文写作能力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right="-105" w:rightChars="-5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3、有基层党建工作经验优先。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园区党建组织员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中共党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具有一定的公文写作能力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right="-105" w:rightChars="-5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3、有基层党建工作经验优先。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以事定费人员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eastAsia="zh-CN"/>
              </w:rPr>
              <w:t>工作地点：社区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工程管理岗聘员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从事房地产、规划、设计、监理、施工或工程管理相关其中一项或几项工作经历。</w:t>
            </w:r>
          </w:p>
          <w:p>
            <w:p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具备政府投资项目管理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经验者优先。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综合事务岗聘员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A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有一定的公文写作能力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熟悉办公室软件应用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综合事务岗聘员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有一定的公文写作能力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熟悉办公室软件应用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3、持有汽车驾驶证优先。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社会事务岗聘员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909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  <w:t>较适合男性，需从事基层一线外勤、应急值守等工作。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right="-105" w:rightChars="-5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信访调解岗聘员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910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有一定的公文写作能力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2、有调解经验者优先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righ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人事业务岗聘员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911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全日制大专以上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1、身份证（正反面），职位要求为龙岗区、深圳市户籍的应上传户口本；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2、毕业证、学位证及学历验证证明（学信网验证证明即可）；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3、报名表（附件2）；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4、计划生育个人承诺书（附件3）；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5、无犯罪证明（该证明暂时不便提供可延后至资格复审时提交）；</w:t>
            </w:r>
          </w:p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6、职位有关的其他证明材料。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right"/>
        </w:trPr>
        <w:tc>
          <w:tcPr>
            <w:tcW w:w="49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职业化工会工作者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Ph20200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912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ind w:firstLine="176" w:firstLineChars="100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从事过工会工作或有企业生产一线工作经历的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通过国家相关考试取得法律、劳动关系协调、人力资源管理、心理咨询、社工等与工会工作相关职业资格证书的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  <w:tc>
          <w:tcPr>
            <w:tcW w:w="71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招聘后人员归街道总工会组织管理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与街道总工会签订劳动合同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1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p>
      <w:pPr>
        <w:widowControl/>
        <w:jc w:val="left"/>
        <w:rPr>
          <w:rFonts w:ascii="仿宋" w:hAnsi="仿宋" w:eastAsia="仿宋"/>
          <w:bCs/>
          <w:sz w:val="24"/>
        </w:rPr>
      </w:pPr>
    </w:p>
    <w:p>
      <w:pPr>
        <w:widowControl/>
        <w:jc w:val="left"/>
        <w:rPr>
          <w:rFonts w:ascii="仿宋" w:hAnsi="仿宋" w:eastAsia="仿宋"/>
          <w:bCs/>
          <w:sz w:val="24"/>
        </w:rPr>
      </w:pPr>
    </w:p>
    <w:p>
      <w:pPr>
        <w:widowControl/>
        <w:jc w:val="left"/>
        <w:rPr>
          <w:rFonts w:ascii="仿宋" w:hAnsi="仿宋" w:eastAsia="仿宋"/>
          <w:bCs/>
          <w:sz w:val="24"/>
        </w:rPr>
      </w:pPr>
    </w:p>
    <w:p>
      <w:pPr>
        <w:widowControl/>
        <w:jc w:val="left"/>
        <w:rPr>
          <w:rFonts w:hint="eastAsia" w:ascii="仿宋" w:hAnsi="仿宋" w:eastAsia="仿宋"/>
          <w:bCs/>
          <w:sz w:val="24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907" w:right="454" w:bottom="680" w:left="45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DCDC"/>
    <w:multiLevelType w:val="singleLevel"/>
    <w:tmpl w:val="5E6EDC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72DFDF"/>
    <w:multiLevelType w:val="singleLevel"/>
    <w:tmpl w:val="5F72DF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B2D3EE8"/>
    <w:rsid w:val="0DC20E53"/>
    <w:rsid w:val="0DF12054"/>
    <w:rsid w:val="0E0F1B39"/>
    <w:rsid w:val="10E37C2A"/>
    <w:rsid w:val="142E1255"/>
    <w:rsid w:val="17AD2CA0"/>
    <w:rsid w:val="18B664D6"/>
    <w:rsid w:val="1CA86530"/>
    <w:rsid w:val="1D337019"/>
    <w:rsid w:val="1D463D08"/>
    <w:rsid w:val="1F417719"/>
    <w:rsid w:val="226C7D61"/>
    <w:rsid w:val="24733DC1"/>
    <w:rsid w:val="2BD83294"/>
    <w:rsid w:val="2C1A7E3F"/>
    <w:rsid w:val="308265A5"/>
    <w:rsid w:val="31FF6FC5"/>
    <w:rsid w:val="32246A78"/>
    <w:rsid w:val="32AB52CD"/>
    <w:rsid w:val="33DF493E"/>
    <w:rsid w:val="37615042"/>
    <w:rsid w:val="37AD654B"/>
    <w:rsid w:val="38BE15D7"/>
    <w:rsid w:val="39A445FB"/>
    <w:rsid w:val="3D8C177A"/>
    <w:rsid w:val="3E4B68F5"/>
    <w:rsid w:val="3FD677FA"/>
    <w:rsid w:val="403D5386"/>
    <w:rsid w:val="41D95A27"/>
    <w:rsid w:val="432E4531"/>
    <w:rsid w:val="43F85EAE"/>
    <w:rsid w:val="44746B79"/>
    <w:rsid w:val="45EB2E99"/>
    <w:rsid w:val="474C4D33"/>
    <w:rsid w:val="4AFD36B4"/>
    <w:rsid w:val="4B4A26B0"/>
    <w:rsid w:val="53CD7120"/>
    <w:rsid w:val="556949F0"/>
    <w:rsid w:val="556D5B7C"/>
    <w:rsid w:val="58066EFA"/>
    <w:rsid w:val="58D3470D"/>
    <w:rsid w:val="58D85D93"/>
    <w:rsid w:val="59463597"/>
    <w:rsid w:val="5E4137B5"/>
    <w:rsid w:val="62EB553F"/>
    <w:rsid w:val="63224EE0"/>
    <w:rsid w:val="63B47D3C"/>
    <w:rsid w:val="63DA274D"/>
    <w:rsid w:val="645F35FC"/>
    <w:rsid w:val="64744E2E"/>
    <w:rsid w:val="665E2048"/>
    <w:rsid w:val="699D3600"/>
    <w:rsid w:val="6A7A5A63"/>
    <w:rsid w:val="6AFB754B"/>
    <w:rsid w:val="6C2722D8"/>
    <w:rsid w:val="6E14159D"/>
    <w:rsid w:val="6FC27E43"/>
    <w:rsid w:val="6FD07B7E"/>
    <w:rsid w:val="6FD12D6D"/>
    <w:rsid w:val="70CD0D7D"/>
    <w:rsid w:val="72365A5A"/>
    <w:rsid w:val="78291C1D"/>
    <w:rsid w:val="7B2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E8184-A9CC-44DB-8862-2C7A06B3E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Administrator</cp:lastModifiedBy>
  <cp:lastPrinted>2020-09-30T04:58:00Z</cp:lastPrinted>
  <dcterms:modified xsi:type="dcterms:W3CDTF">2020-09-30T08:03:56Z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