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jc w:val="center"/>
        <w:rPr>
          <w:rFonts w:hint="eastAsia" w:ascii="微软雅黑" w:hAnsi="微软雅黑" w:eastAsia="微软雅黑" w:cs="微软雅黑"/>
          <w:color w:val="DF3A39"/>
          <w:kern w:val="0"/>
          <w:sz w:val="30"/>
          <w:szCs w:val="30"/>
          <w:bdr w:val="none" w:color="auto" w:sz="0" w:space="0"/>
          <w:lang w:val="en-US" w:eastAsia="zh-CN" w:bidi="ar"/>
        </w:rPr>
      </w:pPr>
      <w:r>
        <w:rPr>
          <w:rFonts w:hint="eastAsia" w:ascii="微软雅黑" w:hAnsi="微软雅黑" w:eastAsia="微软雅黑" w:cs="微软雅黑"/>
          <w:color w:val="DF3A39"/>
          <w:kern w:val="0"/>
          <w:sz w:val="30"/>
          <w:szCs w:val="30"/>
          <w:lang w:val="en-US" w:eastAsia="zh-CN" w:bidi="ar"/>
        </w:rPr>
        <w:t>2019年</w:t>
      </w:r>
      <w:r>
        <w:rPr>
          <w:rFonts w:hint="eastAsia" w:ascii="微软雅黑" w:hAnsi="微软雅黑" w:eastAsia="微软雅黑" w:cs="微软雅黑"/>
          <w:color w:val="DF3A39"/>
          <w:kern w:val="0"/>
          <w:sz w:val="30"/>
          <w:szCs w:val="30"/>
          <w:bdr w:val="none" w:color="auto" w:sz="0" w:space="0"/>
          <w:lang w:val="en-US" w:eastAsia="zh-CN" w:bidi="ar"/>
        </w:rPr>
        <w:t>汕头市澄海区农业农村局招聘事业单位专技人员确定体检对象名单公示</w:t>
      </w:r>
    </w:p>
    <w:tbl>
      <w:tblPr>
        <w:tblW w:w="1486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
      <w:tblGrid>
        <w:gridCol w:w="1568"/>
        <w:gridCol w:w="1205"/>
        <w:gridCol w:w="1569"/>
        <w:gridCol w:w="2157"/>
        <w:gridCol w:w="1710"/>
        <w:gridCol w:w="1667"/>
        <w:gridCol w:w="1569"/>
        <w:gridCol w:w="1891"/>
        <w:gridCol w:w="152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30" w:type="dxa"/>
            <w:left w:w="30" w:type="dxa"/>
            <w:bottom w:w="30" w:type="dxa"/>
            <w:right w:w="30" w:type="dxa"/>
          </w:tblCellMar>
        </w:tblPrEx>
        <w:tc>
          <w:tcPr>
            <w:tcW w:w="1568"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姓名</w:t>
            </w:r>
          </w:p>
        </w:tc>
        <w:tc>
          <w:tcPr>
            <w:tcW w:w="12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性别</w:t>
            </w:r>
          </w:p>
        </w:tc>
        <w:tc>
          <w:tcPr>
            <w:tcW w:w="156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学历</w:t>
            </w:r>
          </w:p>
        </w:tc>
        <w:tc>
          <w:tcPr>
            <w:tcW w:w="215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拟招录职位</w:t>
            </w:r>
          </w:p>
        </w:tc>
        <w:tc>
          <w:tcPr>
            <w:tcW w:w="17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资格审核</w:t>
            </w:r>
          </w:p>
        </w:tc>
        <w:tc>
          <w:tcPr>
            <w:tcW w:w="166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面试成绩</w:t>
            </w:r>
          </w:p>
        </w:tc>
        <w:tc>
          <w:tcPr>
            <w:tcW w:w="156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总成绩</w:t>
            </w:r>
          </w:p>
        </w:tc>
        <w:tc>
          <w:tcPr>
            <w:tcW w:w="189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所在单位或毕业院校</w:t>
            </w:r>
          </w:p>
        </w:tc>
        <w:tc>
          <w:tcPr>
            <w:tcW w:w="15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b/>
                <w:kern w:val="0"/>
                <w:sz w:val="28"/>
                <w:szCs w:val="28"/>
                <w:lang w:val="en-US" w:eastAsia="zh-CN" w:bidi="ar"/>
              </w:rPr>
              <w:t>是否为体检对象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刘泽锋</w:t>
            </w:r>
          </w:p>
        </w:tc>
        <w:tc>
          <w:tcPr>
            <w:tcW w:w="12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男</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研究生</w:t>
            </w:r>
          </w:p>
        </w:tc>
        <w:tc>
          <w:tcPr>
            <w:tcW w:w="21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汕头市澄海区农机化技术推广站</w:t>
            </w:r>
          </w:p>
        </w:tc>
        <w:tc>
          <w:tcPr>
            <w:tcW w:w="1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通过</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84</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84</w:t>
            </w:r>
          </w:p>
        </w:tc>
        <w:tc>
          <w:tcPr>
            <w:tcW w:w="18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仲恺农业工程学院</w:t>
            </w:r>
          </w:p>
        </w:tc>
        <w:tc>
          <w:tcPr>
            <w:tcW w:w="15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否（放弃）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纪炜达</w:t>
            </w:r>
          </w:p>
        </w:tc>
        <w:tc>
          <w:tcPr>
            <w:tcW w:w="12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男</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研究生</w:t>
            </w:r>
          </w:p>
        </w:tc>
        <w:tc>
          <w:tcPr>
            <w:tcW w:w="21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汕头市澄海区农机化技术推广站</w:t>
            </w:r>
          </w:p>
        </w:tc>
        <w:tc>
          <w:tcPr>
            <w:tcW w:w="1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通过</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82</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82</w:t>
            </w:r>
          </w:p>
        </w:tc>
        <w:tc>
          <w:tcPr>
            <w:tcW w:w="18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江西农业大学</w:t>
            </w:r>
          </w:p>
        </w:tc>
        <w:tc>
          <w:tcPr>
            <w:tcW w:w="15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56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林嘉豪</w:t>
            </w:r>
          </w:p>
        </w:tc>
        <w:tc>
          <w:tcPr>
            <w:tcW w:w="12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男</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研究生</w:t>
            </w:r>
          </w:p>
        </w:tc>
        <w:tc>
          <w:tcPr>
            <w:tcW w:w="215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汕头市澄海区农机化技术推广站</w:t>
            </w:r>
          </w:p>
        </w:tc>
        <w:tc>
          <w:tcPr>
            <w:tcW w:w="171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通过</w:t>
            </w:r>
          </w:p>
        </w:tc>
        <w:tc>
          <w:tcPr>
            <w:tcW w:w="166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81</w:t>
            </w:r>
          </w:p>
        </w:tc>
        <w:tc>
          <w:tcPr>
            <w:tcW w:w="156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81</w:t>
            </w:r>
          </w:p>
        </w:tc>
        <w:tc>
          <w:tcPr>
            <w:tcW w:w="189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广西科技大学</w:t>
            </w:r>
          </w:p>
        </w:tc>
        <w:tc>
          <w:tcPr>
            <w:tcW w:w="15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105" w:beforeAutospacing="0" w:after="105" w:afterAutospacing="0" w:line="25" w:lineRule="atLeast"/>
              <w:ind w:left="0" w:right="0"/>
              <w:jc w:val="center"/>
              <w:rPr>
                <w:rFonts w:hint="eastAsia" w:ascii="宋体" w:hAnsi="宋体" w:eastAsia="宋体" w:cs="宋体"/>
                <w:sz w:val="28"/>
                <w:szCs w:val="28"/>
              </w:rPr>
            </w:pPr>
            <w:r>
              <w:rPr>
                <w:rFonts w:hint="eastAsia" w:ascii="宋体" w:hAnsi="宋体" w:eastAsia="宋体" w:cs="宋体"/>
                <w:kern w:val="0"/>
                <w:sz w:val="28"/>
                <w:szCs w:val="28"/>
                <w:lang w:val="en-US" w:eastAsia="zh-CN" w:bidi="ar"/>
              </w:rPr>
              <w:t>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250" w:beforeAutospacing="0"/>
        <w:jc w:val="center"/>
        <w:rPr>
          <w:rFonts w:hint="eastAsia" w:ascii="微软雅黑" w:hAnsi="微软雅黑" w:eastAsia="微软雅黑" w:cs="微软雅黑"/>
          <w:color w:val="DF3A39"/>
          <w:kern w:val="0"/>
          <w:sz w:val="30"/>
          <w:szCs w:val="30"/>
          <w:bdr w:val="none" w:color="auto" w:sz="0" w:space="0"/>
          <w:lang w:val="en-US" w:eastAsia="zh-CN" w:bidi="ar"/>
        </w:r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F5672"/>
    <w:rsid w:val="307F5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2019-06-07T03:45:00Z</dcterms:created>
  <dc:creator>ASUS</dc:creator>
  <cp:lastModifiedBy>ASUS</cp:lastModifiedBy>
  <dcterms:modified xsi:type="dcterms:W3CDTF">2019-06-07T03:45:49Z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