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/>
        <w:ind w:left="0" w:right="0" w:firstLine="560"/>
        <w:jc w:val="left"/>
        <w:rPr>
          <w:rFonts w:ascii="Verdana" w:hAnsi="Verdana" w:cs="Verdana"/>
          <w:i w:val="0"/>
          <w:caps w:val="0"/>
          <w:color w:val="474747"/>
          <w:spacing w:val="0"/>
          <w:sz w:val="14"/>
          <w:szCs w:val="14"/>
        </w:rPr>
      </w:pPr>
      <w:r>
        <w:rPr>
          <w:rFonts w:ascii="楷体" w:hAnsi="楷体" w:eastAsia="楷体" w:cs="楷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eastAsia" w:ascii="楷体" w:hAnsi="楷体" w:eastAsia="楷体" w:cs="楷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FFFFF"/>
        </w:rPr>
        <w:t>社会人：</w:t>
      </w:r>
    </w:p>
    <w:tbl>
      <w:tblPr>
        <w:tblW w:w="855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3"/>
        <w:gridCol w:w="1669"/>
        <w:gridCol w:w="1804"/>
        <w:gridCol w:w="1804"/>
        <w:gridCol w:w="18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学历层次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医师资格证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第一年（万元）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第二年（万元）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第三年（万元）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8-9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8-9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8-9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Verdana" w:hAnsi="Verdana" w:cs="Verdana"/>
                <w:i w:val="0"/>
                <w:caps w:val="0"/>
                <w:color w:val="474747"/>
                <w:spacing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9-11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11-13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11-13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9.5-10.5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9.7-10.5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9.7-10.5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474747"/>
                <w:spacing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10-14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12-14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12-14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10.5-11.5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10.5-11.5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10.5-11.5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474747"/>
                <w:spacing w:val="0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11.4-13.5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13.5-15.5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15" w:lineRule="atLeast"/>
              <w:ind w:left="0" w:right="0"/>
              <w:jc w:val="center"/>
            </w:pPr>
            <w:r>
              <w:rPr>
                <w:rFonts w:hint="default" w:ascii="方正楷体_GB2312" w:hAnsi="方正楷体_GB2312" w:eastAsia="方正楷体_GB2312" w:cs="方正楷体_GB2312"/>
                <w:i w:val="0"/>
                <w:caps w:val="0"/>
                <w:color w:val="474747"/>
                <w:spacing w:val="0"/>
                <w:sz w:val="24"/>
                <w:szCs w:val="24"/>
                <w:bdr w:val="none" w:color="auto" w:sz="0" w:space="0"/>
              </w:rPr>
              <w:t>13.5-15.5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474747"/>
          <w:spacing w:val="0"/>
          <w:sz w:val="14"/>
          <w:szCs w:val="14"/>
        </w:rPr>
      </w:pPr>
      <w:r>
        <w:rPr>
          <w:rFonts w:hint="eastAsia" w:ascii="楷体" w:hAnsi="楷体" w:eastAsia="楷体" w:cs="楷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FFFFF"/>
        </w:rPr>
        <w:t>注：上述薪酬待遇为税前收入，已包含国家、省、市财政的住院医师规范化培训补贴、五险一金、年终津贴、节假日补贴、住宿补贴等，根据个人考核结果发放；科室工作绩效会根据个人工作表现及工作量发放；科研绩效参照本院职工标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474747"/>
          <w:spacing w:val="0"/>
          <w:sz w:val="14"/>
          <w:szCs w:val="14"/>
        </w:rPr>
      </w:pPr>
      <w:r>
        <w:rPr>
          <w:rFonts w:hint="eastAsia" w:ascii="楷体" w:hAnsi="楷体" w:eastAsia="楷体" w:cs="楷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FFFFF"/>
        </w:rPr>
        <w:t>2.外单位委托培养医师收入包括中央+市补助经费+夜班补贴；由委托培养单位发放工资福利、购买“五险一金”等；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474747"/>
          <w:spacing w:val="0"/>
          <w:sz w:val="14"/>
          <w:szCs w:val="14"/>
        </w:rPr>
      </w:pPr>
      <w:r>
        <w:rPr>
          <w:rFonts w:hint="eastAsia" w:ascii="楷体" w:hAnsi="楷体" w:eastAsia="楷体" w:cs="楷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FFFFF"/>
        </w:rPr>
        <w:t>3.报读本院全科、儿科、急诊三个专业的医师在原待遇的基础上每月增加500元特殊专业津贴；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474747"/>
          <w:spacing w:val="0"/>
          <w:sz w:val="14"/>
          <w:szCs w:val="14"/>
        </w:rPr>
      </w:pPr>
      <w:r>
        <w:rPr>
          <w:rFonts w:hint="eastAsia" w:ascii="楷体" w:hAnsi="楷体" w:eastAsia="楷体" w:cs="楷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FFFFF"/>
        </w:rPr>
        <w:t>4.培训基地第一年提供住宿，按照培训基地标准缴纳住宿费及水、电、气等费用；第二年起每月提供住房补贴。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4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474747"/>
          <w:spacing w:val="0"/>
          <w:sz w:val="14"/>
          <w:szCs w:val="14"/>
        </w:rPr>
      </w:pPr>
      <w:r>
        <w:rPr>
          <w:rFonts w:hint="eastAsia" w:ascii="楷体" w:hAnsi="楷体" w:eastAsia="楷体" w:cs="楷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FFFFF"/>
        </w:rPr>
        <w:t>5.按广东省卫健委关于住院医师规范化培训的要求，通过培训，考核合格，取得《住院医师规范化培训证书》，社会化培训人员结业后自行择业，择优留院或推荐就业。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A3D08"/>
    <w:rsid w:val="3F8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2021-04-09T11:20:00Z</dcterms:created>
  <dc:creator>ぺ灬cc果冻ル</dc:creator>
  <cp:lastModifiedBy>ぺ灬cc果冻ル</cp:lastModifiedBy>
  <dcterms:modified xsi:type="dcterms:W3CDTF">2021-04-09T11:21:36Z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