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12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3B87"/>
          <w:spacing w:val="0"/>
          <w:sz w:val="26"/>
          <w:szCs w:val="26"/>
          <w:bdr w:val="none" w:color="auto" w:sz="0" w:space="0"/>
          <w:shd w:val="clear" w:fill="FFFFFF"/>
        </w:rPr>
        <w:t>珠海高栏港经济区平沙社区卫生服务中心2019年下半年公开招聘编外医技人员</w:t>
      </w:r>
      <w:r>
        <w:rPr>
          <w:rFonts w:hint="eastAsia" w:ascii="微软雅黑" w:hAnsi="微软雅黑" w:eastAsia="微软雅黑" w:cs="微软雅黑"/>
          <w:i w:val="0"/>
          <w:caps w:val="0"/>
          <w:color w:val="0A3B87"/>
          <w:spacing w:val="0"/>
          <w:sz w:val="26"/>
          <w:szCs w:val="26"/>
          <w:bdr w:val="none" w:color="auto" w:sz="0" w:space="0"/>
          <w:shd w:val="clear" w:fill="FFFFFF"/>
          <w:lang w:val="en-US" w:eastAsia="zh-CN"/>
        </w:rPr>
        <w:t>岗位及任职条件</w:t>
      </w:r>
      <w:bookmarkStart w:id="0" w:name="_GoBack"/>
      <w:bookmarkEnd w:id="0"/>
    </w:p>
    <w:tbl>
      <w:tblPr>
        <w:tblW w:w="104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870"/>
        <w:gridCol w:w="1419"/>
        <w:gridCol w:w="1656"/>
        <w:gridCol w:w="4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临床医学及相关专业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1.具有执业助理医师及以上资格，执业范围为内科；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3.年龄要求：执业助理医师30周岁及以下、执业医师35周岁及以下、具有主治医师及以上职称放宽至45周岁。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护理及相关专业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1.具有护士执业证书，师级或以上职称；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2.年龄要求：40周岁以下。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中医学、中西医临床医学等相关专业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1.具有执业医师及以上资格证书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2.年龄要求：执业医师</w:t>
            </w: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35周岁及以下,具有主治医师及以上职称放宽至45周岁以下。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康复理疗师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医学类的康复相关专业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1.具有执业助理医师及以上资格（执业医师资格为临床类别康复专业）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年龄要求：执业助理医师30周岁及以下、执业医师35周岁及以下、具有主治医师及以上职称放宽至45周岁。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1.具有执业助理医师及以上资格，执业范围为全科；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2.年龄要求：执业助理医师30周岁及以下、执业医师35周岁及以下、具有主治医师及以上职称放宽至45周岁。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049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备注:因犯罪受过刑事处罚的人员、被开除公职的人员、以及其他依照法律、法规规定不得招聘的人员不得报考。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141FF"/>
    <w:rsid w:val="12F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2019-11-08T07:29:00Z</dcterms:created>
  <dc:creator>石果</dc:creator>
  <cp:lastModifiedBy>石果</cp:lastModifiedBy>
  <dcterms:modified xsi:type="dcterms:W3CDTF">2019-11-08T07:29:36Z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