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1123"/>
        <w:gridCol w:w="905"/>
        <w:gridCol w:w="863"/>
        <w:gridCol w:w="919"/>
        <w:gridCol w:w="2748"/>
        <w:gridCol w:w="2463"/>
      </w:tblGrid>
      <w:tr w:rsidR="009B0C84" w:rsidRPr="009B0C84" w:rsidTr="009B0C84">
        <w:trPr>
          <w:trHeight w:val="456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岗位名称</w:t>
            </w:r>
          </w:p>
        </w:tc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招聘</w:t>
            </w:r>
          </w:p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人数</w:t>
            </w:r>
          </w:p>
        </w:tc>
        <w:tc>
          <w:tcPr>
            <w:tcW w:w="6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资格条件</w:t>
            </w:r>
          </w:p>
        </w:tc>
      </w:tr>
      <w:tr w:rsidR="009B0C84" w:rsidRPr="009B0C84" w:rsidTr="009B0C84">
        <w:trPr>
          <w:trHeight w:val="1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C84" w:rsidRPr="009B0C84" w:rsidRDefault="009B0C84" w:rsidP="009B0C84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C84" w:rsidRPr="009B0C84" w:rsidRDefault="009B0C84" w:rsidP="009B0C84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B0C84" w:rsidRPr="009B0C84" w:rsidRDefault="009B0C84" w:rsidP="009B0C84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年龄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学历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专业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其他要求</w:t>
            </w:r>
          </w:p>
        </w:tc>
      </w:tr>
      <w:tr w:rsidR="009B0C84" w:rsidRPr="009B0C84" w:rsidTr="009B0C84">
        <w:trPr>
          <w:trHeight w:val="3034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二级审计雇员(专业技术辅助类)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1名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35周岁以下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具备全日制大学本科以上学历或学士以上学位。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财政学（A020203）、审计硕士（A020217）、会计学（A120201）、会计硕士（A120206）、财政学类（B0202）、审计学（B120207）、财务管理（B120204）、会计学（B120203）专业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具备中级以上审计师、会计师或注册会计师等专业技术资格证书或执业资格证书，具备3年或以上审计相关工作经验。</w:t>
            </w:r>
          </w:p>
        </w:tc>
      </w:tr>
      <w:tr w:rsidR="009B0C84" w:rsidRPr="009B0C84" w:rsidTr="009B0C84">
        <w:trPr>
          <w:trHeight w:val="339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二级审计雇员(专业技术辅助类)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1名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35周岁以下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具备全日制大学本科以上学历、学士以上学位。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土木工程（A0814）、水利工程（A0815）、土木类（B0811）、水利类（B0812）、工程管理（B120103）、工程造价（B120105）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0C84" w:rsidRPr="009B0C84" w:rsidRDefault="009B0C84" w:rsidP="009B0C84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9B0C84">
              <w:rPr>
                <w:rFonts w:ascii="微软雅黑" w:hAnsi="微软雅黑" w:cs="宋体" w:hint="eastAsia"/>
                <w:color w:val="535353"/>
                <w:sz w:val="21"/>
                <w:szCs w:val="21"/>
              </w:rPr>
              <w:t>具备相关专业中级或以上职称，或取得注册一级造价工程师、注册一级建造师、注册监理工程师执业资格证书。具有5年或以上建设工程造价（财审、审计、造价管理）、工程咨询、项目管理相关工作经验。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0C84"/>
    <w:rsid w:val="00323B43"/>
    <w:rsid w:val="003D37D8"/>
    <w:rsid w:val="004358AB"/>
    <w:rsid w:val="0064020C"/>
    <w:rsid w:val="008811B0"/>
    <w:rsid w:val="008B7726"/>
    <w:rsid w:val="009B0C84"/>
    <w:rsid w:val="00B600C9"/>
    <w:rsid w:val="00B952C0"/>
    <w:rsid w:val="00BE302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B0C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2021-05-20T11:02:00Z</dcterms:created>
  <dcterms:modified xsi:type="dcterms:W3CDTF">2021-05-20T11:04:00Z</dcterms:modified>
</cp:coreProperties>
</file>