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1581"/>
        <w:gridCol w:w="2534"/>
        <w:gridCol w:w="2534"/>
        <w:gridCol w:w="2526"/>
        <w:gridCol w:w="2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581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11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581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5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5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3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专业技术人员</w:t>
            </w:r>
          </w:p>
        </w:tc>
        <w:tc>
          <w:tcPr>
            <w:tcW w:w="15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2名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40周岁（含）以下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电气类、土木类、水利类、建筑类、工程管理、工程造价、城市管理、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24"/>
                <w:szCs w:val="24"/>
                <w:bdr w:val="none" w:color="auto" w:sz="0" w:space="0"/>
              </w:rPr>
              <w:t>具备初级职称，中级及以上职称优先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A3152"/>
    <w:rsid w:val="3FAA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2021-01-22T09:58:00Z</dcterms:created>
  <dc:creator>ぺ灬cc果冻ル</dc:creator>
  <cp:lastModifiedBy>ぺ灬cc果冻ル</cp:lastModifiedBy>
  <dcterms:modified xsi:type="dcterms:W3CDTF">2021-01-22T09:59:35Z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