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1082"/>
        <w:gridCol w:w="982"/>
        <w:gridCol w:w="1288"/>
        <w:gridCol w:w="2426"/>
        <w:gridCol w:w="149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高级职员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行政管理、公共管理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具有3年以上管理工作经验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高级职员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企业管理、旅游管理、工商管理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具有3年以上管理工作经验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中级职员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会计学、财务会计教育、财务管理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具有3年以上财会工作经验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中级职员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汉语言文学、秘书学、传播学、网络与新媒体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中级职员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市场营销、工商管理、旅游管理、行政管理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中级职员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全日制本科学历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计算机科学与技术、网络工程、电子与计算机工程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初级职员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会计学、财务管理、会计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具有3年以上财会工作经验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初级职员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行政管理、物业管理、工商管理、旅游管理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初级职员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汉语言文学、新闻传播类、秘书学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初级职员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文化市场经营管理、文化创意与策划、市场营销类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初级职员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人力资源管理、公共管理类、工学类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初级职员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  <w:bdr w:val="none" w:color="auto" w:sz="0" w:space="0"/>
              </w:rPr>
              <w:t>社会体育、音乐、美术、舞蹈教育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2020-05-22T09:40:56Z</dcterms:created>
  <dc:creator>Administrator</dc:creator>
  <cp:lastModifiedBy>Administrator</cp:lastModifiedBy>
  <dcterms:modified xsi:type="dcterms:W3CDTF">2020-05-22T09:41:37Z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