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3660"/>
        <w:gridCol w:w="2020"/>
        <w:gridCol w:w="1414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职责内容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资质要求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社工员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（1名）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1、根据需求，运用社工专业手法，开展个案、小组；组织相关社区活动；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2、鼓励联动地区资源，促进项目的有效实施；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leftChars="0" w:right="0" w:rightChars="0" w:firstLine="0" w:firstLine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3、根据服务部的年度计划和项目指标，编制活动方案，按时按进度提交服务记录等。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0" w:right="0" w:rightChars="0" w:firstLine="0" w:firstLine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1、大专或以上学历；</w:t>
            </w:r>
          </w:p>
          <w:p>
            <w:pPr>
              <w:pStyle w:val="2"/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0" w:right="0" w:rightChars="0" w:firstLine="0" w:firstLine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2、1年以上相关工作经验，具有良好的沟通能力及团队协作精神；</w:t>
            </w:r>
          </w:p>
          <w:p>
            <w:pPr>
              <w:pStyle w:val="2"/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0" w:right="0" w:rightChars="0" w:firstLine="0" w:firstLine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3、具备听、说粤语能力。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税前3200-3800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夏南二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社工员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（1名）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1、根据需求，运用社工专业手法，开展个案、小组；组织相关社区活动；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2、鼓励联动地区资源，促进项目的有效实施；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leftChars="0" w:right="0" w:rightChars="0" w:firstLine="0" w:firstLine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3、根据服务部的年度计划和项目指标，编制活动方案，按时按进度提交服务记录等。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1、大专学历且具备佛山市社会工作员证书或本科及以上学历；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2、具有良好的沟通能力及团队协作精神；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</w:rPr>
              <w:t>3、具备听、说粤语能力。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税前3200-3800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 w:rightChars="0"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奇槎社区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52096"/>
    <w:rsid w:val="0EE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2020-03-04T05:54:00Z</dcterms:created>
  <dc:creator>ぺ灬cc果冻ル</dc:creator>
  <cp:lastModifiedBy>ぺ灬cc果冻ル</cp:lastModifiedBy>
  <dcterms:modified xsi:type="dcterms:W3CDTF">2020-03-04T05:55:57Z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